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spacing w:before="0" w:beforeAutospacing="0" w:after="0" w:afterAutospacing="0" w:line="592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112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52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 w:bidi="ar-SA"/>
        </w:rPr>
        <w:t>合肥市重点产业链企业申请信息表</w:t>
      </w:r>
    </w:p>
    <w:bookmarkEnd w:id="0"/>
    <w:p>
      <w:pPr>
        <w:widowControl w:val="0"/>
        <w:overflowPunct w:val="0"/>
        <w:spacing w:before="0" w:beforeAutospacing="0" w:after="0" w:afterAutospacing="0" w:line="592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highlight w:val="none"/>
          <w:lang w:val="en-US" w:eastAsia="zh-CN" w:bidi="ar"/>
        </w:rPr>
        <w:t>填报单位名称（盖章）</w:t>
      </w:r>
      <w:r>
        <w:rPr>
          <w:rFonts w:hint="default" w:ascii="Times New Roman" w:hAnsi="Times New Roman" w:eastAsia="宋体" w:cs="Times New Roman"/>
          <w:bCs/>
          <w:color w:val="auto"/>
          <w:sz w:val="20"/>
          <w:szCs w:val="20"/>
          <w:highlight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 w:bidi="ar"/>
        </w:rPr>
        <w:t>（我单位承诺以下填报信息准确无误</w:t>
      </w:r>
      <w:r>
        <w:rPr>
          <w:rFonts w:hint="default" w:ascii="Times New Roman" w:hAnsi="Times New Roman" w:eastAsia="宋体" w:cs="Times New Roman"/>
          <w:b w:val="0"/>
          <w:i w:val="0"/>
          <w:color w:val="auto"/>
          <w:sz w:val="20"/>
          <w:szCs w:val="20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 w:bidi="ar"/>
        </w:rPr>
        <w:t>如弄虚作假</w:t>
      </w:r>
      <w:r>
        <w:rPr>
          <w:rFonts w:hint="default" w:ascii="Times New Roman" w:hAnsi="Times New Roman" w:eastAsia="宋体" w:cs="Times New Roman"/>
          <w:b w:val="0"/>
          <w:i w:val="0"/>
          <w:color w:val="auto"/>
          <w:sz w:val="20"/>
          <w:szCs w:val="20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 w:bidi="ar"/>
        </w:rPr>
        <w:t xml:space="preserve">愿意承担相应后果）  </w:t>
      </w: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highlight w:val="none"/>
          <w:lang w:val="en-US" w:eastAsia="zh-CN" w:bidi="ar"/>
        </w:rPr>
        <w:t xml:space="preserve">                                     填报人</w:t>
      </w:r>
      <w:r>
        <w:rPr>
          <w:rFonts w:hint="default" w:ascii="Times New Roman" w:hAnsi="Times New Roman" w:eastAsia="宋体" w:cs="Times New Roman"/>
          <w:bCs/>
          <w:color w:val="auto"/>
          <w:sz w:val="20"/>
          <w:szCs w:val="20"/>
          <w:highlight w:val="none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 w:bidi="ar"/>
        </w:rPr>
        <w:t>XX</w:t>
      </w:r>
      <w:r>
        <w:rPr>
          <w:rFonts w:hint="default" w:ascii="Times New Roman" w:hAnsi="Times New Roman" w:eastAsia="宋体" w:cs="Times New Roman"/>
          <w:b w:val="0"/>
          <w:i w:val="0"/>
          <w:color w:val="auto"/>
          <w:sz w:val="20"/>
          <w:szCs w:val="20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highlight w:val="none"/>
          <w:lang w:val="en-US" w:eastAsia="zh-CN" w:bidi="ar"/>
        </w:rPr>
        <w:t>电话</w:t>
      </w:r>
      <w:r>
        <w:rPr>
          <w:rFonts w:hint="default" w:ascii="Times New Roman" w:hAnsi="Times New Roman" w:eastAsia="宋体" w:cs="Times New Roman"/>
          <w:bCs/>
          <w:color w:val="auto"/>
          <w:sz w:val="20"/>
          <w:szCs w:val="20"/>
          <w:highlight w:val="none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 w:bidi="ar"/>
        </w:rPr>
        <w:t>XX</w:t>
      </w:r>
    </w:p>
    <w:tbl>
      <w:tblPr>
        <w:tblStyle w:val="6"/>
        <w:tblW w:w="132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544"/>
        <w:gridCol w:w="713"/>
        <w:gridCol w:w="637"/>
        <w:gridCol w:w="450"/>
        <w:gridCol w:w="750"/>
        <w:gridCol w:w="656"/>
        <w:gridCol w:w="788"/>
        <w:gridCol w:w="694"/>
        <w:gridCol w:w="862"/>
        <w:gridCol w:w="581"/>
        <w:gridCol w:w="582"/>
        <w:gridCol w:w="600"/>
        <w:gridCol w:w="600"/>
        <w:gridCol w:w="993"/>
        <w:gridCol w:w="732"/>
        <w:gridCol w:w="937"/>
        <w:gridCol w:w="938"/>
        <w:gridCol w:w="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序号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企业</w:t>
            </w:r>
          </w:p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名称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color w:val="auto"/>
                <w:sz w:val="21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统一社会</w:t>
            </w:r>
          </w:p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信用代码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企业所在县市区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注册时间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color w:val="auto"/>
                <w:sz w:val="21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产业</w:t>
            </w:r>
          </w:p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类型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  <w:lang w:bidi="ar"/>
              </w:rPr>
              <w:t>（产业链名称）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产业</w:t>
            </w:r>
          </w:p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环节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（环节见附件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）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color w:val="auto"/>
                <w:sz w:val="21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企业简介</w:t>
            </w:r>
          </w:p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  <w:lang w:bidi="ar"/>
              </w:rPr>
              <w:t>（200字以内）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主营产品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/业务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截至2023年底参加社保人数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（人）</w:t>
            </w:r>
          </w:p>
        </w:tc>
        <w:tc>
          <w:tcPr>
            <w:tcW w:w="2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年1-12月</w:t>
            </w:r>
          </w:p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企业产值及营收</w:t>
            </w:r>
          </w:p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（万元）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年1-12月企业在地纳税金额</w:t>
            </w:r>
          </w:p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（万元）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纳税所在县市区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在建项目名称及投资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创新平台名称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企业联系人及              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产值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增速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营收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增速</w:t>
            </w: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例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713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年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highlight w:val="none"/>
                <w:lang w:eastAsia="zh-CN" w:bidi="ar"/>
              </w:rPr>
              <w:t>XX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高端装备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面板</w:t>
            </w:r>
          </w:p>
        </w:tc>
        <w:tc>
          <w:tcPr>
            <w:tcW w:w="788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我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公司注册资金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highlight w:val="none"/>
                <w:lang w:eastAsia="zh-CN" w:bidi="ar"/>
              </w:rPr>
              <w:t>XX</w:t>
            </w:r>
            <w:r>
              <w:rPr>
                <w:rStyle w:val="9"/>
                <w:rFonts w:hint="default" w:ascii="Times New Roman" w:hAnsi="Times New Roman" w:cs="Times New Roman"/>
                <w:b w:val="0"/>
                <w:i w:val="0"/>
                <w:color w:val="auto"/>
                <w:highlight w:val="none"/>
                <w:lang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主要从事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highlight w:val="none"/>
                <w:lang w:eastAsia="zh-CN" w:bidi="ar"/>
              </w:rPr>
              <w:t>XX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…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TFT-LCD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面板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项目（研发类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研发投入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万元）；</w:t>
            </w:r>
          </w:p>
          <w:p>
            <w:pPr>
              <w:overflowPunct w:val="0"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项目（产业类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总投资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万元）；</w:t>
            </w:r>
          </w:p>
          <w:p>
            <w:pPr>
              <w:overflowPunct w:val="0"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Style w:val="9"/>
                <w:rFonts w:hint="default" w:ascii="Times New Roman" w:hAnsi="Times New Roman" w:eastAsia="宋体" w:cs="Times New Roman"/>
                <w:color w:val="auto"/>
                <w:sz w:val="21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国家工程研究中心（国家级）；</w:t>
            </w:r>
          </w:p>
          <w:p>
            <w:pPr>
              <w:overflowPunct w:val="0"/>
              <w:spacing w:line="240" w:lineRule="exact"/>
              <w:textAlignment w:val="center"/>
              <w:rPr>
                <w:rStyle w:val="9"/>
                <w:rFonts w:hint="default" w:ascii="Times New Roman" w:hAnsi="Times New Roman" w:eastAsia="宋体" w:cs="Times New Roman"/>
                <w:color w:val="auto"/>
                <w:sz w:val="21"/>
                <w:szCs w:val="24"/>
                <w:highlight w:val="none"/>
                <w:lang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2.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highlight w:val="none"/>
                <w:lang w:eastAsia="zh-CN" w:bidi="ar"/>
              </w:rPr>
              <w:t>XX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工程实验室（省级）；</w:t>
            </w:r>
          </w:p>
          <w:p>
            <w:pPr>
              <w:overflowPunct w:val="0"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/                139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…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48"/>
          <w:szCs w:val="21"/>
          <w:lang w:val="en-US" w:eastAsia="zh-CN"/>
        </w:rPr>
        <w:sectPr>
          <w:pgSz w:w="16838" w:h="11906" w:orient="landscape"/>
          <w:pgMar w:top="1503" w:right="1985" w:bottom="1503" w:left="1758" w:header="851" w:footer="1361" w:gutter="0"/>
          <w:pgNumType w:fmt="numberInDash"/>
          <w:cols w:space="720" w:num="1"/>
          <w:rtlGutter w:val="0"/>
          <w:docGrid w:type="lines" w:linePitch="592" w:charSpace="-6554"/>
        </w:sect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2"/>
          <w:szCs w:val="22"/>
          <w:highlight w:val="none"/>
        </w:rPr>
        <w:t>备注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2"/>
          <w:szCs w:val="22"/>
          <w:highlight w:val="none"/>
        </w:rPr>
        <w:t>：1.已纳入四上统计的企业，产值及营收一项不可填写企业口径数字，必须由县市区填写与统计系统内一致的数字。服务业企业等无产值的请以“/”填写。2.在建项目一项仅需填写截至</w:t>
      </w:r>
      <w:r>
        <w:rPr>
          <w:rFonts w:hint="eastAsia" w:ascii="Times New Roman" w:hAnsi="Times New Roman" w:cs="Times New Roman"/>
          <w:b w:val="0"/>
          <w:bCs w:val="0"/>
          <w:color w:val="auto"/>
          <w:sz w:val="22"/>
          <w:szCs w:val="22"/>
          <w:highlight w:val="none"/>
          <w:lang w:val="en-US" w:eastAsia="zh-CN"/>
        </w:rPr>
        <w:t>目前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2"/>
          <w:szCs w:val="22"/>
          <w:highlight w:val="none"/>
        </w:rPr>
        <w:t>仍于我市在建，且研发投入达1000万元（含）以上的研发类项目或总投资达1亿元（含）以上的产业类项目。如无符合上述要求条件的项目请以“/”填写。3.创新平台一项指各级各类重点实验室、工程研究中心（实验室）、工程技术研究中心、企业技术中心、工业设计中心、技术创新中心、新型研发机构等，企业需应列尽列，如无请以“/”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B2284"/>
    <w:rsid w:val="5EB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44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8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2024-03-15T18:26:00Z</dcterms:created>
  <dc:creator>uos</dc:creator>
  <cp:lastModifiedBy>uos</cp:lastModifiedBy>
  <dcterms:modified xsi:type="dcterms:W3CDTF">2024-03-15T18:28:50Z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