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CA" w:rsidRDefault="00F15DCA">
      <w:pPr>
        <w:pStyle w:val="2"/>
        <w:rPr>
          <w:rFonts w:ascii="Times New Roman" w:hAnsi="Times New Roman" w:cs="Times New Roman"/>
        </w:rPr>
      </w:pPr>
    </w:p>
    <w:p w:rsidR="00F15DCA" w:rsidRDefault="00F15DCA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15DCA" w:rsidRDefault="00EF2A5B">
      <w:pPr>
        <w:snapToGrid w:val="0"/>
        <w:spacing w:beforeLines="50" w:before="120" w:line="360" w:lineRule="auto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F15DCA" w:rsidRDefault="00EF2A5B">
      <w:pPr>
        <w:snapToGrid w:val="0"/>
        <w:spacing w:beforeLines="50" w:before="120" w:line="360" w:lineRule="auto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长三角</w:t>
      </w:r>
      <w:r>
        <w:rPr>
          <w:rFonts w:ascii="Times New Roman" w:eastAsia="方正小标宋简体" w:hAnsi="Times New Roman" w:cs="Times New Roman"/>
          <w:sz w:val="36"/>
          <w:szCs w:val="36"/>
        </w:rPr>
        <w:t>G60</w:t>
      </w:r>
      <w:r>
        <w:rPr>
          <w:rFonts w:ascii="Times New Roman" w:eastAsia="方正小标宋简体" w:hAnsi="Times New Roman" w:cs="Times New Roman"/>
          <w:sz w:val="36"/>
          <w:szCs w:val="36"/>
        </w:rPr>
        <w:t>科创走廊第二批产融结合高质量发展示范园区评估指标</w:t>
      </w:r>
    </w:p>
    <w:tbl>
      <w:tblPr>
        <w:tblW w:w="134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2506"/>
        <w:gridCol w:w="5352"/>
        <w:gridCol w:w="1309"/>
        <w:gridCol w:w="3086"/>
      </w:tblGrid>
      <w:tr w:rsidR="00F15DCA">
        <w:trPr>
          <w:trHeight w:val="466"/>
          <w:tblHeader/>
          <w:jc w:val="center"/>
        </w:trPr>
        <w:tc>
          <w:tcPr>
            <w:tcW w:w="1204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指标分类</w:t>
            </w: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二级指标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评估内容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分值</w:t>
            </w:r>
          </w:p>
        </w:tc>
        <w:tc>
          <w:tcPr>
            <w:tcW w:w="3086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建设情况（可另附材料说明）</w:t>
            </w:r>
          </w:p>
        </w:tc>
      </w:tr>
      <w:tr w:rsidR="00F15DCA">
        <w:trPr>
          <w:trHeight w:val="767"/>
          <w:jc w:val="center"/>
        </w:trPr>
        <w:tc>
          <w:tcPr>
            <w:tcW w:w="1204" w:type="dxa"/>
            <w:vMerge w:val="restart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规划布局（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10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功能定位清晰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产业具有创新性和特色性，且能和周边产业形成一定的产业链。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≤4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trHeight w:val="719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产融结合模式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产融结合模式符合当地经济业态，有具体金融支持产业发展政策。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trHeight w:val="729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发展规划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具有明确的中、长期发展规划，符合园区所属区域的总体规划和产业升级方向。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trHeight w:val="833"/>
          <w:jc w:val="center"/>
        </w:trPr>
        <w:tc>
          <w:tcPr>
            <w:tcW w:w="1204" w:type="dxa"/>
            <w:vMerge w:val="restart"/>
            <w:vAlign w:val="center"/>
          </w:tcPr>
          <w:p w:rsidR="00F15DCA" w:rsidRDefault="00EF2A5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产业特色（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主导产业突出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145" w:id="830629625"/>
              </w:rPr>
              <w:t>1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145" w:id="830629625"/>
              </w:rPr>
              <w:t>、是否属于战略性新兴产业；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145" w:id="830629625"/>
              </w:rPr>
              <w:t>2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145" w:id="830629625"/>
              </w:rPr>
              <w:t>、近三年主导产业营</w:t>
            </w:r>
            <w:r w:rsidRPr="00EF2A5B">
              <w:rPr>
                <w:rFonts w:ascii="Times New Roman" w:eastAsia="仿宋_GB2312" w:hAnsi="Times New Roman" w:cs="Times New Roman"/>
                <w:spacing w:val="45"/>
                <w:kern w:val="0"/>
                <w:szCs w:val="21"/>
                <w:fitText w:val="5145" w:id="830629625"/>
              </w:rPr>
              <w:t>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收入占园区总收入比重。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trHeight w:val="748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集聚企业数量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、主导产业入驻企业数量；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、主导产业中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四上企业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数量占比。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trHeight w:val="598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主导产业投资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近三年主导产业新增投资额及增速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771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主导产业营业收入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145" w:id="1029061405"/>
              </w:rPr>
              <w:t>1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145" w:id="1029061405"/>
              </w:rPr>
              <w:t>、近三年主导产业营业收入；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145" w:id="1029061405"/>
              </w:rPr>
              <w:t>2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145" w:id="1029061405"/>
              </w:rPr>
              <w:t>、近三年主导产业营</w:t>
            </w:r>
            <w:r w:rsidRPr="00EF2A5B">
              <w:rPr>
                <w:rFonts w:ascii="Times New Roman" w:eastAsia="仿宋_GB2312" w:hAnsi="Times New Roman" w:cs="Times New Roman"/>
                <w:spacing w:val="45"/>
                <w:kern w:val="0"/>
                <w:szCs w:val="21"/>
                <w:fitText w:val="5145" w:id="1029061405"/>
              </w:rPr>
              <w:t>业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收入增幅。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716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产出效益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250" w:id="1557399930"/>
              </w:rPr>
              <w:t>1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250" w:id="1557399930"/>
              </w:rPr>
              <w:t>、近三年主导产业实现税收；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250" w:id="1557399930"/>
              </w:rPr>
              <w:t>2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250" w:id="1557399930"/>
              </w:rPr>
              <w:t>、近三年主导产业年</w:t>
            </w:r>
            <w:r w:rsidRPr="00EF2A5B">
              <w:rPr>
                <w:rFonts w:ascii="Times New Roman" w:eastAsia="仿宋_GB2312" w:hAnsi="Times New Roman" w:cs="Times New Roman"/>
                <w:spacing w:val="100"/>
                <w:kern w:val="0"/>
                <w:szCs w:val="21"/>
                <w:fitText w:val="5250" w:id="1557399930"/>
              </w:rPr>
              <w:t>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税收增长率。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716"/>
          <w:jc w:val="center"/>
        </w:trPr>
        <w:tc>
          <w:tcPr>
            <w:tcW w:w="1204" w:type="dxa"/>
            <w:vMerge w:val="restart"/>
            <w:vAlign w:val="center"/>
          </w:tcPr>
          <w:p w:rsidR="00F15DCA" w:rsidRDefault="00EF2A5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科创活力（</w:t>
            </w: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12</w:t>
            </w: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分）</w:t>
            </w: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科技企业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高新技术企业、专精特新企业、科技小巨人企业、创新型中小企业数量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标注级别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: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国家级、省级、区级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864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科技创新成效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、园区内经认定的企业技术中心、产业创新中心、企业</w:t>
            </w:r>
            <w:r w:rsidRPr="00EF2A5B">
              <w:rPr>
                <w:rFonts w:ascii="Times New Roman" w:eastAsia="仿宋_GB2312" w:hAnsi="Times New Roman" w:cs="Times New Roman"/>
                <w:spacing w:val="10"/>
                <w:w w:val="98"/>
                <w:kern w:val="0"/>
                <w:szCs w:val="21"/>
                <w:fitText w:val="5250" w:id="1509911270"/>
              </w:rPr>
              <w:t>孵化器、院士专家工作站等科技创新基地情况；</w:t>
            </w:r>
            <w:r w:rsidRPr="00EF2A5B">
              <w:rPr>
                <w:rFonts w:ascii="Times New Roman" w:eastAsia="仿宋_GB2312" w:hAnsi="Times New Roman" w:cs="Times New Roman"/>
                <w:spacing w:val="10"/>
                <w:w w:val="98"/>
                <w:kern w:val="0"/>
                <w:szCs w:val="21"/>
                <w:fitText w:val="5250" w:id="1509911270"/>
              </w:rPr>
              <w:t>2</w:t>
            </w:r>
            <w:r w:rsidRPr="00EF2A5B">
              <w:rPr>
                <w:rFonts w:ascii="Times New Roman" w:eastAsia="仿宋_GB2312" w:hAnsi="Times New Roman" w:cs="Times New Roman"/>
                <w:spacing w:val="10"/>
                <w:w w:val="98"/>
                <w:kern w:val="0"/>
                <w:szCs w:val="21"/>
                <w:fitText w:val="5250" w:id="1509911270"/>
              </w:rPr>
              <w:t>、近三</w:t>
            </w:r>
            <w:r w:rsidRPr="00EF2A5B">
              <w:rPr>
                <w:rFonts w:ascii="Times New Roman" w:eastAsia="仿宋_GB2312" w:hAnsi="Times New Roman" w:cs="Times New Roman"/>
                <w:spacing w:val="-45"/>
                <w:w w:val="98"/>
                <w:kern w:val="0"/>
                <w:szCs w:val="21"/>
                <w:fitText w:val="5250" w:id="1509911270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企业获得省级以上科技创新奖项情况；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、近三年高新技术成果转化情况。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≤4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716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知识产权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、企业拥有发明专利情况；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、专利试点示范企业情况。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716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上市企业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、上市企业数量；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、登陆新三板、地方股交中心挂牌企业情况。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trHeight w:val="833"/>
          <w:jc w:val="center"/>
        </w:trPr>
        <w:tc>
          <w:tcPr>
            <w:tcW w:w="1204" w:type="dxa"/>
            <w:vMerge w:val="restart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金融配套（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15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金融机构集聚情况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、入驻各类金融机构数量；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、机构的行业知名度。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≤4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trHeight w:val="833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金融产业配套服务机构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金融产业链各类相关企业数量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trHeight w:val="833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营业收入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近三年金融机构年度营业收入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≤4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trHeight w:val="689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管理资产规模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近三年金融机构年末管理资产金额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≤4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716"/>
          <w:jc w:val="center"/>
        </w:trPr>
        <w:tc>
          <w:tcPr>
            <w:tcW w:w="1204" w:type="dxa"/>
            <w:vMerge w:val="restart"/>
            <w:vAlign w:val="center"/>
          </w:tcPr>
          <w:p w:rsidR="00F15DCA" w:rsidRDefault="00EF2A5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产融结合（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22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融资渠道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近三年园区运营方为企业提供的各类融资渠道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≤4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937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融资成效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近三年企业通过园区运营方提供渠道获得的融资金额，包括贷款、债券（科创债绿色债）、股权、知识产权质押、融资租赁、产业基金等。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≤8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716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融资企业名录库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、园区运营方是否针对不同融资需求企业建立名录库；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、名录库更新频率。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537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产融结合活动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近三年园区常态化开展产融结合活动情况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≤4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1161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绿色金融业务创新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、积极探索碳金融产品创新，园区内企业参与碳基金、碳债券、碳保险、碳信托等金融产品情况；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、园区构建碳达峰、碳中和的投融资机制，引导金融资源向绿色低碳发展领域倾斜；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、绿色债券发行情况。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≤4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736"/>
          <w:jc w:val="center"/>
        </w:trPr>
        <w:tc>
          <w:tcPr>
            <w:tcW w:w="1204" w:type="dxa"/>
            <w:vMerge w:val="restart"/>
            <w:vAlign w:val="center"/>
          </w:tcPr>
          <w:p w:rsidR="00F15DCA" w:rsidRDefault="00EF2A5B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营商环境</w:t>
            </w: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（</w:t>
            </w: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8</w:t>
            </w: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分）</w:t>
            </w:r>
          </w:p>
        </w:tc>
        <w:tc>
          <w:tcPr>
            <w:tcW w:w="25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园区硬件配套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园区服务配套设施（包括餐厅、会议室、便利店、展示馆等等）、交通便利度等情况。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736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基础服务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园区服务企业注册、证照办理、咨询、代理、法务等各类事项的基础服务体系。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887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创新服务能力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274" w:id="1487367098"/>
              </w:rPr>
              <w:t>推进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274" w:id="1487367098"/>
              </w:rPr>
              <w:t>“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274" w:id="1487367098"/>
              </w:rPr>
              <w:t>一网通办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274" w:id="1487367098"/>
              </w:rPr>
              <w:t>”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274" w:id="1487367098"/>
              </w:rPr>
              <w:t>、承接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274" w:id="1487367098"/>
              </w:rPr>
              <w:t>G60</w:t>
            </w:r>
            <w:r w:rsidRPr="00EF2A5B">
              <w:rPr>
                <w:rFonts w:ascii="Times New Roman" w:eastAsia="仿宋_GB2312" w:hAnsi="Times New Roman" w:cs="Times New Roman"/>
                <w:kern w:val="0"/>
                <w:szCs w:val="21"/>
                <w:fitText w:val="5274" w:id="1487367098"/>
              </w:rPr>
              <w:t>法治研究中心公共法律服</w:t>
            </w:r>
            <w:r w:rsidRPr="00EF2A5B">
              <w:rPr>
                <w:rFonts w:ascii="Times New Roman" w:eastAsia="仿宋_GB2312" w:hAnsi="Times New Roman" w:cs="Times New Roman"/>
                <w:spacing w:val="105"/>
                <w:kern w:val="0"/>
                <w:szCs w:val="21"/>
                <w:fitText w:val="5274" w:id="1487367098"/>
              </w:rPr>
              <w:t>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、知识产权行政保护协同中心等创新服务举措，以及支持政府各类政策落地情况。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1010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平台建设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围绕园区主导产业，搭建创新服务平台情况，园区数字化建设管理情况，以及拥有公共技术平台、数据共享平台等平台资源情况。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436"/>
          <w:jc w:val="center"/>
        </w:trPr>
        <w:tc>
          <w:tcPr>
            <w:tcW w:w="1204" w:type="dxa"/>
            <w:vMerge w:val="restart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</w:pPr>
          </w:p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人才集聚</w:t>
            </w:r>
          </w:p>
          <w:p w:rsidR="00F15DCA" w:rsidRDefault="00EF2A5B">
            <w:pPr>
              <w:widowControl/>
              <w:spacing w:line="320" w:lineRule="exact"/>
              <w:rPr>
                <w:rFonts w:ascii="Times New Roman" w:eastAsia="黑体" w:hAnsi="Times New Roman" w:cs="Times New Roman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kern w:val="0"/>
                <w:szCs w:val="21"/>
              </w:rPr>
              <w:lastRenderedPageBreak/>
              <w:t>（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8</w:t>
            </w:r>
            <w:r>
              <w:rPr>
                <w:rFonts w:ascii="Times New Roman" w:eastAsia="黑体" w:hAnsi="Times New Roman" w:cs="Times New Roman"/>
                <w:kern w:val="0"/>
                <w:szCs w:val="21"/>
              </w:rPr>
              <w:t>分）</w:t>
            </w:r>
          </w:p>
        </w:tc>
        <w:tc>
          <w:tcPr>
            <w:tcW w:w="250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lastRenderedPageBreak/>
              <w:t>人才学历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本科及以上学历人才数量及占比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436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widowControl/>
              <w:spacing w:line="320" w:lineRule="exac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技术人才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获得中高级技术职称人员数量及占比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436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widowControl/>
              <w:spacing w:line="320" w:lineRule="exac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高端人才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入选市（区）、省和国家相关人才计划的人员数量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436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widowControl/>
              <w:spacing w:line="320" w:lineRule="exac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金融专业人才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获得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CPA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CFA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等金融执业资格证书人员数量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635"/>
          <w:jc w:val="center"/>
        </w:trPr>
        <w:tc>
          <w:tcPr>
            <w:tcW w:w="1204" w:type="dxa"/>
            <w:vMerge w:val="restart"/>
            <w:tcBorders>
              <w:top w:val="single" w:sz="4" w:space="0" w:color="auto"/>
            </w:tcBorders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推进机制（</w:t>
            </w: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10</w:t>
            </w: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分）</w:t>
            </w:r>
          </w:p>
          <w:p w:rsidR="00F15DCA" w:rsidRDefault="00F15DCA">
            <w:pPr>
              <w:widowControl/>
              <w:spacing w:line="320" w:lineRule="exact"/>
              <w:rPr>
                <w:rFonts w:ascii="Times New Roman" w:eastAsia="黑体" w:hAnsi="Times New Roman" w:cs="Times New Roman"/>
                <w:kern w:val="0"/>
                <w:szCs w:val="21"/>
              </w:rPr>
            </w:pPr>
          </w:p>
        </w:tc>
        <w:tc>
          <w:tcPr>
            <w:tcW w:w="250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组织保障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、具有专业的管理服务团队，领导机构及管理机制健全；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、定期与政府相关职能部门举行推进会议。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773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扶持政策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市县（区）政府出台支持园区发展的各项政策措施及落实情况。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≤3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526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重大活动举办情况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近三年举办市级以上论坛、会议、比赛等活动情况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779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宣传工作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、微信公众号等园区宣传媒介运作情况；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、媒体和社会关注度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新闻报道数量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)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。</w:t>
            </w:r>
          </w:p>
        </w:tc>
        <w:tc>
          <w:tcPr>
            <w:tcW w:w="1309" w:type="dxa"/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≤2</w:t>
            </w: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617"/>
          <w:jc w:val="center"/>
        </w:trPr>
        <w:tc>
          <w:tcPr>
            <w:tcW w:w="1204" w:type="dxa"/>
            <w:vMerge w:val="restart"/>
            <w:vAlign w:val="center"/>
          </w:tcPr>
          <w:p w:rsidR="00F15DCA" w:rsidRDefault="00EF2A5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加分项目（</w:t>
            </w: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10</w:t>
            </w: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>分）</w:t>
            </w:r>
            <w:r>
              <w:rPr>
                <w:rFonts w:ascii="Times New Roman" w:eastAsia="黑体" w:hAnsi="Times New Roman" w:cs="Times New Roman"/>
                <w:spacing w:val="-11"/>
                <w:kern w:val="0"/>
                <w:szCs w:val="21"/>
              </w:rPr>
              <w:t xml:space="preserve"> </w:t>
            </w: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荣誉称号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近三年获得国家、市、区相关认定或荣誉称号</w:t>
            </w:r>
          </w:p>
        </w:tc>
        <w:tc>
          <w:tcPr>
            <w:tcW w:w="1309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  <w:tr w:rsidR="00F15DCA">
        <w:trPr>
          <w:cantSplit/>
          <w:trHeight w:val="619"/>
          <w:jc w:val="center"/>
        </w:trPr>
        <w:tc>
          <w:tcPr>
            <w:tcW w:w="1204" w:type="dxa"/>
            <w:vMerge/>
            <w:vAlign w:val="center"/>
          </w:tcPr>
          <w:p w:rsidR="00F15DCA" w:rsidRDefault="00F15DC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506" w:type="dxa"/>
            <w:tcMar>
              <w:left w:w="57" w:type="dxa"/>
              <w:right w:w="57" w:type="dxa"/>
            </w:tcMar>
            <w:vAlign w:val="center"/>
          </w:tcPr>
          <w:p w:rsidR="00F15DCA" w:rsidRDefault="00EF2A5B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其他</w:t>
            </w:r>
          </w:p>
        </w:tc>
        <w:tc>
          <w:tcPr>
            <w:tcW w:w="5352" w:type="dxa"/>
            <w:vAlign w:val="center"/>
          </w:tcPr>
          <w:p w:rsidR="00F15DCA" w:rsidRDefault="00EF2A5B">
            <w:pPr>
              <w:widowControl/>
              <w:spacing w:line="320" w:lineRule="exac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其他适宜加分项目</w:t>
            </w:r>
          </w:p>
        </w:tc>
        <w:tc>
          <w:tcPr>
            <w:tcW w:w="1309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3086" w:type="dxa"/>
            <w:vAlign w:val="center"/>
          </w:tcPr>
          <w:p w:rsidR="00F15DCA" w:rsidRDefault="00F15DCA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</w:tr>
    </w:tbl>
    <w:p w:rsidR="00F15DCA" w:rsidRDefault="00EF2A5B">
      <w:pPr>
        <w:snapToGrid w:val="0"/>
        <w:spacing w:line="280" w:lineRule="exact"/>
        <w:ind w:firstLineChars="200" w:firstLine="422"/>
        <w:rPr>
          <w:rFonts w:ascii="Times New Roman" w:eastAsia="仿宋_GB2312" w:hAnsi="Times New Roman" w:cs="Times New Roman"/>
          <w:b/>
          <w:bCs/>
        </w:rPr>
      </w:pPr>
      <w:r>
        <w:rPr>
          <w:rFonts w:ascii="Times New Roman" w:eastAsia="仿宋_GB2312" w:hAnsi="Times New Roman" w:cs="Times New Roman"/>
          <w:b/>
          <w:bCs/>
        </w:rPr>
        <w:t>备注：</w:t>
      </w:r>
    </w:p>
    <w:p w:rsidR="00F15DCA" w:rsidRDefault="00EF2A5B">
      <w:pPr>
        <w:numPr>
          <w:ilvl w:val="0"/>
          <w:numId w:val="1"/>
        </w:numPr>
        <w:snapToGrid w:val="0"/>
        <w:spacing w:line="2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分值：除加分项目外，全部得分合计</w:t>
      </w:r>
      <w:r>
        <w:rPr>
          <w:rFonts w:ascii="Times New Roman" w:eastAsia="仿宋_GB2312" w:hAnsi="Times New Roman" w:cs="Times New Roman"/>
        </w:rPr>
        <w:t>100</w:t>
      </w:r>
      <w:r>
        <w:rPr>
          <w:rFonts w:ascii="Times New Roman" w:eastAsia="仿宋_GB2312" w:hAnsi="Times New Roman" w:cs="Times New Roman"/>
        </w:rPr>
        <w:t>分，加分项目上限为</w:t>
      </w:r>
      <w:r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分；</w:t>
      </w:r>
    </w:p>
    <w:p w:rsidR="00F15DCA" w:rsidRDefault="00EF2A5B">
      <w:pPr>
        <w:snapToGrid w:val="0"/>
        <w:spacing w:line="2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、时间点：除特别说明外，相关存量数据指标为截至</w:t>
      </w:r>
      <w:r>
        <w:rPr>
          <w:rFonts w:ascii="Times New Roman" w:eastAsia="仿宋_GB2312" w:hAnsi="Times New Roman" w:cs="Times New Roman"/>
        </w:rPr>
        <w:t>2022</w:t>
      </w:r>
      <w:r>
        <w:rPr>
          <w:rFonts w:ascii="Times New Roman" w:eastAsia="仿宋_GB2312" w:hAnsi="Times New Roman" w:cs="Times New Roman"/>
        </w:rPr>
        <w:t>年末数据；</w:t>
      </w:r>
    </w:p>
    <w:p w:rsidR="00F15DCA" w:rsidRDefault="00EF2A5B">
      <w:pPr>
        <w:snapToGrid w:val="0"/>
        <w:spacing w:line="280" w:lineRule="exact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、关于园区类型：如园区为纯金融小镇型，则产业特色、科创活力项目内容可酌情填写，并提供园区金融机构投资产业和企业的相关数据和材料；如园区为科创产业园区，无一定规模的金融机构，则金融集中项目可酌情填写，并侧重反映产融结合项目情况。上述情况相关项目评估分值将根据园区具体情况进行相应调整；</w:t>
      </w:r>
    </w:p>
    <w:p w:rsidR="00F15DCA" w:rsidRDefault="00EF2A5B">
      <w:pPr>
        <w:snapToGrid w:val="0"/>
        <w:spacing w:line="28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、本评分标准由</w:t>
      </w:r>
      <w:r>
        <w:rPr>
          <w:rFonts w:ascii="Times New Roman" w:eastAsia="仿宋_GB2312" w:hAnsi="Times New Roman" w:cs="Times New Roman"/>
        </w:rPr>
        <w:t>G60</w:t>
      </w:r>
      <w:r>
        <w:rPr>
          <w:rFonts w:ascii="Times New Roman" w:eastAsia="仿宋_GB2312" w:hAnsi="Times New Roman" w:cs="Times New Roman"/>
        </w:rPr>
        <w:t>联席办负责解释。</w:t>
      </w:r>
    </w:p>
    <w:p w:rsidR="00F15DCA" w:rsidRDefault="00F15DCA">
      <w:pPr>
        <w:rPr>
          <w:rFonts w:ascii="Times New Roman" w:hAnsi="Times New Roman" w:cs="Times New Roman"/>
        </w:rPr>
        <w:sectPr w:rsidR="00F15DCA">
          <w:headerReference w:type="default" r:id="rId8"/>
          <w:footerReference w:type="default" r:id="rId9"/>
          <w:pgSz w:w="16838" w:h="11906" w:orient="landscape"/>
          <w:pgMar w:top="1588" w:right="2098" w:bottom="1474" w:left="1985" w:header="851" w:footer="992" w:gutter="0"/>
          <w:cols w:space="720"/>
          <w:docGrid w:linePitch="312" w:charSpace="640"/>
        </w:sectPr>
      </w:pPr>
    </w:p>
    <w:p w:rsidR="00F15DCA" w:rsidRDefault="00F15DC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1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A5B" w:rsidRDefault="00EF2A5B">
      <w:r>
        <w:separator/>
      </w:r>
    </w:p>
  </w:endnote>
  <w:endnote w:type="continuationSeparator" w:id="0">
    <w:p w:rsidR="00EF2A5B" w:rsidRDefault="00EF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CA" w:rsidRDefault="00EF2A5B">
    <w:pPr>
      <w:pStyle w:val="a4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DCA" w:rsidRDefault="00EF2A5B">
                          <w:pPr>
                            <w:pStyle w:val="a4"/>
                            <w:jc w:val="right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10B8">
                            <w:rPr>
                              <w:rStyle w:val="a7"/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15DCA" w:rsidRDefault="00EF2A5B">
                    <w:pPr>
                      <w:pStyle w:val="a4"/>
                      <w:jc w:val="right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CD10B8">
                      <w:rPr>
                        <w:rStyle w:val="a7"/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Style w:val="a7"/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2588895</wp:posOffset>
              </wp:positionH>
              <wp:positionV relativeFrom="paragraph">
                <wp:posOffset>66675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TextEdit="1"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15DCA" w:rsidRDefault="00F15DCA"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7" type="#_x0000_t202" style="position:absolute;left:0;text-align:left;margin-left:203.85pt;margin-top:5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" filled="f" stroked="f">
              <v:path arrowok="t"/>
              <o:lock v:ext="edit" aspectratio="t" text="t"/>
              <v:textbox style="mso-fit-shape-to-text:t" inset="0,0,0,0">
                <w:txbxContent>
                  <w:p w:rsidR="00F15DCA" w:rsidRDefault="00F15DCA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A5B" w:rsidRDefault="00EF2A5B">
      <w:r>
        <w:separator/>
      </w:r>
    </w:p>
  </w:footnote>
  <w:footnote w:type="continuationSeparator" w:id="0">
    <w:p w:rsidR="00EF2A5B" w:rsidRDefault="00EF2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DCA" w:rsidRDefault="00F15DC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4CD07"/>
    <w:multiLevelType w:val="singleLevel"/>
    <w:tmpl w:val="5554CD0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OThlZWRhNDg5NTZmZmU2NzMwZjE3NjgzN2VjYWQifQ=="/>
  </w:docVars>
  <w:rsids>
    <w:rsidRoot w:val="5A561927"/>
    <w:rsid w:val="00296957"/>
    <w:rsid w:val="002A5A35"/>
    <w:rsid w:val="00CD10B8"/>
    <w:rsid w:val="00EF2A5B"/>
    <w:rsid w:val="00F15DCA"/>
    <w:rsid w:val="0942505C"/>
    <w:rsid w:val="10863702"/>
    <w:rsid w:val="1BB90D09"/>
    <w:rsid w:val="21256EF6"/>
    <w:rsid w:val="27B80D02"/>
    <w:rsid w:val="30696528"/>
    <w:rsid w:val="37C04F50"/>
    <w:rsid w:val="392D26A8"/>
    <w:rsid w:val="3949339B"/>
    <w:rsid w:val="40CC7D4A"/>
    <w:rsid w:val="44CD1D04"/>
    <w:rsid w:val="47817806"/>
    <w:rsid w:val="4DC12CCC"/>
    <w:rsid w:val="586C6BC8"/>
    <w:rsid w:val="58E965DF"/>
    <w:rsid w:val="5A561927"/>
    <w:rsid w:val="630B298D"/>
    <w:rsid w:val="639332E1"/>
    <w:rsid w:val="65F00576"/>
    <w:rsid w:val="79BB0C1F"/>
    <w:rsid w:val="7CE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44CB41-20A5-49B3-8E26-80AFFE67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qFormat/>
    <w:pPr>
      <w:ind w:leftChars="200" w:left="420"/>
    </w:pPr>
  </w:style>
  <w:style w:type="paragraph" w:styleId="a3">
    <w:name w:val="Plain Text"/>
    <w:basedOn w:val="a"/>
    <w:qFormat/>
    <w:rPr>
      <w:rFonts w:ascii="宋体" w:eastAsia="仿宋_GB2312" w:hAnsi="Courier New" w:cs="Courier New"/>
      <w:sz w:val="32"/>
      <w:szCs w:val="21"/>
    </w:rPr>
  </w:style>
  <w:style w:type="paragraph" w:styleId="20">
    <w:name w:val="Body Text Indent 2"/>
    <w:next w:val="a"/>
    <w:unhideWhenUsed/>
    <w:qFormat/>
    <w:pPr>
      <w:widowControl w:val="0"/>
      <w:spacing w:after="120" w:line="480" w:lineRule="auto"/>
      <w:ind w:leftChars="200" w:left="42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7">
    <w:name w:val="page number"/>
    <w:basedOn w:val="a0"/>
    <w:qFormat/>
  </w:style>
  <w:style w:type="paragraph" w:customStyle="1" w:styleId="-1">
    <w:name w:val="正文-公1"/>
    <w:basedOn w:val="a"/>
    <w:uiPriority w:val="99"/>
    <w:qFormat/>
    <w:pPr>
      <w:widowControl/>
      <w:overflowPunct w:val="0"/>
      <w:autoSpaceDE w:val="0"/>
      <w:autoSpaceDN w:val="0"/>
      <w:adjustRightInd w:val="0"/>
      <w:ind w:firstLineChars="200" w:firstLine="200"/>
      <w:textAlignment w:val="baseline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customStyle="1" w:styleId="--">
    <w:name w:val="公文--函"/>
    <w:basedOn w:val="a"/>
    <w:qFormat/>
    <w:pPr>
      <w:spacing w:line="560" w:lineRule="exact"/>
    </w:pPr>
    <w:rPr>
      <w:rFonts w:eastAsia="仿宋_GB2312"/>
      <w:sz w:val="32"/>
    </w:rPr>
  </w:style>
  <w:style w:type="character" w:customStyle="1" w:styleId="fontstyle01">
    <w:name w:val="fontstyle01"/>
    <w:basedOn w:val="a0"/>
    <w:qFormat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小样</dc:creator>
  <cp:lastModifiedBy>xu</cp:lastModifiedBy>
  <cp:revision>2</cp:revision>
  <cp:lastPrinted>2023-06-12T02:22:00Z</cp:lastPrinted>
  <dcterms:created xsi:type="dcterms:W3CDTF">2023-06-13T01:35:00Z</dcterms:created>
  <dcterms:modified xsi:type="dcterms:W3CDTF">2023-06-13T01:35:00Z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25339BA29C26493D960735C433DEA8CA_13</vt:lpwstr>
  </property>
</Properties>
</file>